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7B" w:rsidRDefault="0019657B" w:rsidP="009008A5">
      <w:pPr>
        <w:spacing w:after="0" w:line="240" w:lineRule="auto"/>
      </w:pPr>
      <w:bookmarkStart w:id="0" w:name="_GoBack"/>
      <w:bookmarkEnd w:id="0"/>
    </w:p>
    <w:p w:rsidR="0019657B" w:rsidRDefault="0019657B" w:rsidP="0019657B">
      <w:pPr>
        <w:spacing w:after="0" w:line="240" w:lineRule="auto"/>
        <w:rPr>
          <w:rFonts w:ascii="Arial" w:hAnsi="Arial" w:cs="Arial"/>
          <w:b/>
        </w:rPr>
      </w:pPr>
    </w:p>
    <w:p w:rsidR="0019657B" w:rsidRDefault="0019657B" w:rsidP="0019657B">
      <w:pPr>
        <w:spacing w:after="0" w:line="240" w:lineRule="auto"/>
        <w:rPr>
          <w:rFonts w:ascii="Arial" w:hAnsi="Arial" w:cs="Arial"/>
          <w:b/>
        </w:rPr>
      </w:pPr>
    </w:p>
    <w:p w:rsidR="0019657B" w:rsidRPr="00ED7522" w:rsidRDefault="0019657B" w:rsidP="0019657B">
      <w:pPr>
        <w:spacing w:after="0" w:line="240" w:lineRule="auto"/>
        <w:rPr>
          <w:rFonts w:ascii="Arial" w:hAnsi="Arial" w:cs="Arial"/>
          <w:b/>
        </w:rPr>
      </w:pPr>
      <w:r w:rsidRPr="00ED7522">
        <w:rPr>
          <w:rFonts w:ascii="Arial" w:hAnsi="Arial" w:cs="Arial"/>
          <w:b/>
        </w:rPr>
        <w:t>Hinweis zur Einreichung der „</w:t>
      </w:r>
      <w:r>
        <w:rPr>
          <w:rFonts w:ascii="Arial" w:hAnsi="Arial" w:cs="Arial"/>
          <w:b/>
        </w:rPr>
        <w:t>Anlage zum Antrag - Qualifizierungsziel</w:t>
      </w:r>
      <w:r w:rsidRPr="00ED7522">
        <w:rPr>
          <w:rFonts w:ascii="Arial" w:hAnsi="Arial" w:cs="Arial"/>
          <w:b/>
        </w:rPr>
        <w:t>“</w:t>
      </w:r>
      <w:r>
        <w:rPr>
          <w:rFonts w:ascii="Arial" w:hAnsi="Arial" w:cs="Arial"/>
          <w:b/>
        </w:rPr>
        <w:t xml:space="preserve"> („Quali-Anlage“)</w:t>
      </w:r>
    </w:p>
    <w:p w:rsidR="0019657B" w:rsidRDefault="0019657B" w:rsidP="0019657B">
      <w:pPr>
        <w:spacing w:after="0" w:line="240" w:lineRule="auto"/>
        <w:rPr>
          <w:rFonts w:ascii="Arial" w:hAnsi="Arial" w:cs="Arial"/>
        </w:rPr>
      </w:pPr>
    </w:p>
    <w:p w:rsidR="0019657B" w:rsidRDefault="0019657B" w:rsidP="0019657B">
      <w:pPr>
        <w:spacing w:after="0" w:line="240" w:lineRule="auto"/>
        <w:rPr>
          <w:rFonts w:ascii="Arial" w:hAnsi="Arial" w:cs="Arial"/>
        </w:rPr>
      </w:pPr>
    </w:p>
    <w:p w:rsidR="0019657B" w:rsidRDefault="0019657B" w:rsidP="0019657B">
      <w:pPr>
        <w:spacing w:after="0" w:line="240" w:lineRule="auto"/>
        <w:rPr>
          <w:rFonts w:ascii="Arial" w:hAnsi="Arial" w:cs="Arial"/>
        </w:rPr>
      </w:pPr>
      <w:r w:rsidRPr="00ED7522">
        <w:rPr>
          <w:rFonts w:ascii="Arial" w:hAnsi="Arial" w:cs="Arial"/>
        </w:rPr>
        <w:t>Die Befristung des wissenschaftlichen Personals ist nur zulässig, wenn sie vor oder nach der Promotion „</w:t>
      </w:r>
      <w:r w:rsidRPr="00ED7522">
        <w:rPr>
          <w:rFonts w:ascii="Arial" w:hAnsi="Arial" w:cs="Arial"/>
          <w:u w:val="single"/>
        </w:rPr>
        <w:t>zur Förderung der eigenen wissenschaftlichen Qualifizierung</w:t>
      </w:r>
      <w:r w:rsidRPr="00ED7522">
        <w:rPr>
          <w:rFonts w:ascii="Arial" w:hAnsi="Arial" w:cs="Arial"/>
        </w:rPr>
        <w:t>“ erfolgt. Erforderlich ist der Erwerb wissenschaftlicher Kompetenzen innerhalb des Beschäftigungsverhältnisses</w:t>
      </w:r>
      <w:r>
        <w:rPr>
          <w:rFonts w:ascii="Arial" w:hAnsi="Arial" w:cs="Arial"/>
        </w:rPr>
        <w:t>. Der Gesetzgeber schreibt vor, dass der Zeitraum, in dem das Qualifizierungsziel erreicht werden soll/kann, „angemessen“ ist.</w:t>
      </w:r>
    </w:p>
    <w:p w:rsidR="0019657B" w:rsidRDefault="0019657B" w:rsidP="0019657B">
      <w:pPr>
        <w:spacing w:after="0" w:line="240" w:lineRule="auto"/>
        <w:rPr>
          <w:rFonts w:ascii="Arial" w:hAnsi="Arial" w:cs="Arial"/>
        </w:rPr>
      </w:pPr>
    </w:p>
    <w:p w:rsidR="0019657B" w:rsidRDefault="0019657B" w:rsidP="0019657B">
      <w:pPr>
        <w:spacing w:after="0" w:line="240" w:lineRule="auto"/>
        <w:rPr>
          <w:rFonts w:ascii="Arial" w:hAnsi="Arial" w:cs="Arial"/>
        </w:rPr>
      </w:pPr>
      <w:r>
        <w:rPr>
          <w:rFonts w:ascii="Arial" w:hAnsi="Arial" w:cs="Arial"/>
        </w:rPr>
        <w:t xml:space="preserve">Was „angemessen“ ist, ist gesetzlich nicht definiert. Das </w:t>
      </w:r>
      <w:proofErr w:type="spellStart"/>
      <w:r>
        <w:rPr>
          <w:rFonts w:ascii="Arial" w:hAnsi="Arial" w:cs="Arial"/>
        </w:rPr>
        <w:t>Ref</w:t>
      </w:r>
      <w:proofErr w:type="spellEnd"/>
      <w:r>
        <w:rPr>
          <w:rFonts w:ascii="Arial" w:hAnsi="Arial" w:cs="Arial"/>
        </w:rPr>
        <w:t xml:space="preserve">. 22 orientiert sich daher am Rahmencodex. In Fällen, in denen eine Beschäftigungsdauer nicht „angemessen“ erscheint, benötigt das </w:t>
      </w:r>
      <w:proofErr w:type="spellStart"/>
      <w:r>
        <w:rPr>
          <w:rFonts w:ascii="Arial" w:hAnsi="Arial" w:cs="Arial"/>
        </w:rPr>
        <w:t>Ref</w:t>
      </w:r>
      <w:proofErr w:type="spellEnd"/>
      <w:r>
        <w:rPr>
          <w:rFonts w:ascii="Arial" w:hAnsi="Arial" w:cs="Arial"/>
        </w:rPr>
        <w:t>. 22 eine Anlage zur Erläuterung, warum das Qualifizierungsziel auch in kürzerer Zeit erreicht werden kann.</w:t>
      </w:r>
    </w:p>
    <w:p w:rsidR="0019657B" w:rsidRDefault="0019657B" w:rsidP="0019657B">
      <w:pPr>
        <w:spacing w:after="0" w:line="240" w:lineRule="auto"/>
        <w:rPr>
          <w:rFonts w:ascii="Arial" w:hAnsi="Arial" w:cs="Arial"/>
        </w:rPr>
      </w:pPr>
    </w:p>
    <w:p w:rsidR="0019657B" w:rsidRDefault="0019657B" w:rsidP="0019657B">
      <w:pPr>
        <w:spacing w:after="0" w:line="240" w:lineRule="auto"/>
        <w:rPr>
          <w:rFonts w:ascii="Arial" w:hAnsi="Arial" w:cs="Arial"/>
        </w:rPr>
      </w:pPr>
      <w:r w:rsidRPr="00ED7522">
        <w:rPr>
          <w:rFonts w:ascii="Arial" w:hAnsi="Arial" w:cs="Arial"/>
        </w:rPr>
        <w:t xml:space="preserve">Die folgende Tabelle </w:t>
      </w:r>
      <w:r>
        <w:rPr>
          <w:rFonts w:ascii="Arial" w:hAnsi="Arial" w:cs="Arial"/>
        </w:rPr>
        <w:t>dient der Orientierung,</w:t>
      </w:r>
      <w:r w:rsidRPr="00ED7522">
        <w:rPr>
          <w:rFonts w:ascii="Arial" w:hAnsi="Arial" w:cs="Arial"/>
        </w:rPr>
        <w:t xml:space="preserve"> in welchen Fällen eine </w:t>
      </w:r>
      <w:r>
        <w:rPr>
          <w:rFonts w:ascii="Arial" w:hAnsi="Arial" w:cs="Arial"/>
        </w:rPr>
        <w:t xml:space="preserve">sog. „Quali-Anlage“ benötigt wird </w:t>
      </w:r>
      <w:r w:rsidRPr="00CB6F4F">
        <w:rPr>
          <w:rFonts w:ascii="Arial" w:hAnsi="Arial" w:cs="Arial"/>
          <w:i/>
          <w:sz w:val="18"/>
          <w:szCs w:val="18"/>
        </w:rPr>
        <w:t>(die Angaben beziehen sich sowohl auf die Phase I (</w:t>
      </w:r>
      <w:proofErr w:type="spellStart"/>
      <w:r w:rsidRPr="00CB6F4F">
        <w:rPr>
          <w:rFonts w:ascii="Arial" w:hAnsi="Arial" w:cs="Arial"/>
          <w:i/>
          <w:sz w:val="18"/>
          <w:szCs w:val="18"/>
        </w:rPr>
        <w:t>Doktorand</w:t>
      </w:r>
      <w:r>
        <w:rPr>
          <w:rFonts w:ascii="Arial" w:hAnsi="Arial" w:cs="Arial"/>
          <w:i/>
          <w:sz w:val="18"/>
          <w:szCs w:val="18"/>
        </w:rPr>
        <w:t>:in</w:t>
      </w:r>
      <w:proofErr w:type="spellEnd"/>
      <w:r w:rsidRPr="00CB6F4F">
        <w:rPr>
          <w:rFonts w:ascii="Arial" w:hAnsi="Arial" w:cs="Arial"/>
          <w:i/>
          <w:sz w:val="18"/>
          <w:szCs w:val="18"/>
        </w:rPr>
        <w:t>) als auch auf Phase II (PostDoc)</w:t>
      </w:r>
      <w:r>
        <w:rPr>
          <w:rFonts w:ascii="Arial" w:hAnsi="Arial" w:cs="Arial"/>
        </w:rPr>
        <w:t>:</w:t>
      </w:r>
    </w:p>
    <w:p w:rsidR="0019657B" w:rsidRPr="00ED7522" w:rsidRDefault="0019657B" w:rsidP="0019657B">
      <w:pPr>
        <w:spacing w:after="0" w:line="240" w:lineRule="auto"/>
        <w:rPr>
          <w:rFonts w:ascii="Arial" w:hAnsi="Arial" w:cs="Arial"/>
        </w:rPr>
      </w:pPr>
    </w:p>
    <w:tbl>
      <w:tblPr>
        <w:tblStyle w:val="Tabellenraster"/>
        <w:tblW w:w="0" w:type="auto"/>
        <w:tblLook w:val="04A0" w:firstRow="1" w:lastRow="0" w:firstColumn="1" w:lastColumn="0" w:noHBand="0" w:noVBand="1"/>
      </w:tblPr>
      <w:tblGrid>
        <w:gridCol w:w="4105"/>
        <w:gridCol w:w="1720"/>
        <w:gridCol w:w="1820"/>
      </w:tblGrid>
      <w:tr w:rsidR="0019657B" w:rsidRPr="00ED7522" w:rsidTr="009A1ADB">
        <w:tc>
          <w:tcPr>
            <w:tcW w:w="4105" w:type="dxa"/>
            <w:tcBorders>
              <w:top w:val="nil"/>
              <w:left w:val="nil"/>
              <w:bottom w:val="nil"/>
              <w:right w:val="single" w:sz="4" w:space="0" w:color="auto"/>
            </w:tcBorders>
          </w:tcPr>
          <w:p w:rsidR="0019657B" w:rsidRPr="00ED7522" w:rsidRDefault="0019657B" w:rsidP="009A1ADB">
            <w:pPr>
              <w:spacing w:before="120" w:after="120"/>
              <w:rPr>
                <w:rFonts w:ascii="Arial" w:hAnsi="Arial" w:cs="Arial"/>
              </w:rPr>
            </w:pPr>
          </w:p>
        </w:tc>
        <w:tc>
          <w:tcPr>
            <w:tcW w:w="3540" w:type="dxa"/>
            <w:gridSpan w:val="2"/>
            <w:tcBorders>
              <w:top w:val="single" w:sz="4" w:space="0" w:color="auto"/>
              <w:left w:val="single" w:sz="4" w:space="0" w:color="auto"/>
              <w:bottom w:val="nil"/>
              <w:right w:val="single" w:sz="4" w:space="0" w:color="auto"/>
            </w:tcBorders>
          </w:tcPr>
          <w:p w:rsidR="0019657B" w:rsidRPr="00ED7522" w:rsidRDefault="0019657B" w:rsidP="009A1ADB">
            <w:pPr>
              <w:spacing w:before="120" w:after="120"/>
              <w:jc w:val="center"/>
              <w:rPr>
                <w:rFonts w:ascii="Arial" w:hAnsi="Arial" w:cs="Arial"/>
              </w:rPr>
            </w:pPr>
            <w:r w:rsidRPr="00ED7522">
              <w:rPr>
                <w:rFonts w:ascii="Arial" w:hAnsi="Arial" w:cs="Arial"/>
              </w:rPr>
              <w:t>Quali-Anlage</w:t>
            </w:r>
            <w:r>
              <w:rPr>
                <w:rFonts w:ascii="Arial" w:hAnsi="Arial" w:cs="Arial"/>
              </w:rPr>
              <w:t xml:space="preserve"> einreichen</w:t>
            </w:r>
          </w:p>
        </w:tc>
      </w:tr>
      <w:tr w:rsidR="0019657B" w:rsidRPr="00ED7522" w:rsidTr="009A1ADB">
        <w:tc>
          <w:tcPr>
            <w:tcW w:w="4105" w:type="dxa"/>
            <w:tcBorders>
              <w:top w:val="nil"/>
              <w:left w:val="nil"/>
              <w:bottom w:val="single" w:sz="4" w:space="0" w:color="auto"/>
              <w:right w:val="single" w:sz="4" w:space="0" w:color="auto"/>
            </w:tcBorders>
          </w:tcPr>
          <w:p w:rsidR="0019657B" w:rsidRPr="00ED7522" w:rsidRDefault="0019657B" w:rsidP="009A1ADB">
            <w:pPr>
              <w:spacing w:before="120" w:after="120"/>
              <w:rPr>
                <w:rFonts w:ascii="Arial" w:hAnsi="Arial" w:cs="Arial"/>
              </w:rPr>
            </w:pPr>
          </w:p>
        </w:tc>
        <w:tc>
          <w:tcPr>
            <w:tcW w:w="1720" w:type="dxa"/>
            <w:tcBorders>
              <w:top w:val="nil"/>
              <w:left w:val="single" w:sz="4" w:space="0" w:color="auto"/>
              <w:bottom w:val="single" w:sz="4" w:space="0" w:color="auto"/>
              <w:right w:val="nil"/>
            </w:tcBorders>
          </w:tcPr>
          <w:p w:rsidR="0019657B" w:rsidRPr="00ED7522" w:rsidRDefault="0019657B" w:rsidP="009A1ADB">
            <w:pPr>
              <w:spacing w:before="120" w:after="120"/>
              <w:jc w:val="center"/>
              <w:rPr>
                <w:rFonts w:ascii="Arial" w:hAnsi="Arial" w:cs="Arial"/>
              </w:rPr>
            </w:pPr>
            <w:r>
              <w:rPr>
                <w:rFonts w:ascii="Arial" w:hAnsi="Arial" w:cs="Arial"/>
              </w:rPr>
              <w:t>j</w:t>
            </w:r>
            <w:r w:rsidRPr="00ED7522">
              <w:rPr>
                <w:rFonts w:ascii="Arial" w:hAnsi="Arial" w:cs="Arial"/>
              </w:rPr>
              <w:t>a</w:t>
            </w:r>
          </w:p>
        </w:tc>
        <w:tc>
          <w:tcPr>
            <w:tcW w:w="1820" w:type="dxa"/>
            <w:tcBorders>
              <w:top w:val="nil"/>
              <w:left w:val="nil"/>
              <w:bottom w:val="single" w:sz="4" w:space="0" w:color="auto"/>
              <w:right w:val="single" w:sz="4" w:space="0" w:color="auto"/>
            </w:tcBorders>
          </w:tcPr>
          <w:p w:rsidR="0019657B" w:rsidRPr="00ED7522" w:rsidRDefault="0019657B" w:rsidP="009A1ADB">
            <w:pPr>
              <w:spacing w:before="120" w:after="120"/>
              <w:jc w:val="center"/>
              <w:rPr>
                <w:rFonts w:ascii="Arial" w:hAnsi="Arial" w:cs="Arial"/>
              </w:rPr>
            </w:pPr>
            <w:r>
              <w:rPr>
                <w:rFonts w:ascii="Arial" w:hAnsi="Arial" w:cs="Arial"/>
              </w:rPr>
              <w:t>n</w:t>
            </w:r>
            <w:r w:rsidRPr="00ED7522">
              <w:rPr>
                <w:rFonts w:ascii="Arial" w:hAnsi="Arial" w:cs="Arial"/>
              </w:rPr>
              <w:t>ein</w:t>
            </w:r>
          </w:p>
        </w:tc>
      </w:tr>
      <w:tr w:rsidR="0019657B" w:rsidRPr="00ED7522" w:rsidTr="009A1ADB">
        <w:tc>
          <w:tcPr>
            <w:tcW w:w="4105" w:type="dxa"/>
            <w:tcBorders>
              <w:top w:val="single" w:sz="4" w:space="0" w:color="auto"/>
            </w:tcBorders>
          </w:tcPr>
          <w:p w:rsidR="0019657B" w:rsidRPr="00ED7522" w:rsidRDefault="0019657B" w:rsidP="009A1ADB">
            <w:pPr>
              <w:spacing w:before="120" w:after="120"/>
              <w:rPr>
                <w:rFonts w:ascii="Arial" w:hAnsi="Arial" w:cs="Arial"/>
              </w:rPr>
            </w:pPr>
            <w:r w:rsidRPr="00ED7522">
              <w:rPr>
                <w:rFonts w:ascii="Arial" w:hAnsi="Arial" w:cs="Arial"/>
              </w:rPr>
              <w:t>Einstellung für mind. drei Jahre</w:t>
            </w:r>
          </w:p>
        </w:tc>
        <w:tc>
          <w:tcPr>
            <w:tcW w:w="1720" w:type="dxa"/>
            <w:tcBorders>
              <w:top w:val="single" w:sz="4" w:space="0" w:color="auto"/>
            </w:tcBorders>
          </w:tcPr>
          <w:p w:rsidR="0019657B" w:rsidRPr="00ED7522" w:rsidRDefault="0019657B" w:rsidP="009A1ADB">
            <w:pPr>
              <w:spacing w:before="120" w:after="120"/>
              <w:jc w:val="center"/>
              <w:rPr>
                <w:rFonts w:ascii="Arial" w:hAnsi="Arial" w:cs="Arial"/>
                <w:caps/>
              </w:rPr>
            </w:pPr>
          </w:p>
        </w:tc>
        <w:tc>
          <w:tcPr>
            <w:tcW w:w="1820" w:type="dxa"/>
            <w:tcBorders>
              <w:top w:val="single" w:sz="4" w:space="0" w:color="auto"/>
            </w:tcBorders>
          </w:tcPr>
          <w:p w:rsidR="0019657B" w:rsidRPr="00ED7522" w:rsidRDefault="0019657B" w:rsidP="009A1ADB">
            <w:pPr>
              <w:spacing w:before="120" w:after="120"/>
              <w:jc w:val="center"/>
              <w:rPr>
                <w:rFonts w:ascii="Arial" w:hAnsi="Arial" w:cs="Arial"/>
                <w:caps/>
              </w:rPr>
            </w:pPr>
            <w:r w:rsidRPr="00ED7522">
              <w:rPr>
                <w:rFonts w:ascii="Arial" w:hAnsi="Arial" w:cs="Arial"/>
                <w:caps/>
              </w:rPr>
              <w:t>X</w:t>
            </w:r>
          </w:p>
        </w:tc>
      </w:tr>
      <w:tr w:rsidR="0019657B" w:rsidRPr="00ED7522" w:rsidTr="009A1ADB">
        <w:tc>
          <w:tcPr>
            <w:tcW w:w="4105" w:type="dxa"/>
          </w:tcPr>
          <w:p w:rsidR="0019657B" w:rsidRPr="00ED7522" w:rsidRDefault="0019657B" w:rsidP="009A1ADB">
            <w:pPr>
              <w:spacing w:before="120" w:after="120"/>
              <w:rPr>
                <w:rFonts w:ascii="Arial" w:hAnsi="Arial" w:cs="Arial"/>
              </w:rPr>
            </w:pPr>
            <w:r w:rsidRPr="00ED7522">
              <w:rPr>
                <w:rFonts w:ascii="Arial" w:hAnsi="Arial" w:cs="Arial"/>
              </w:rPr>
              <w:t>Einstellung unter drei Jahre</w:t>
            </w:r>
          </w:p>
        </w:tc>
        <w:tc>
          <w:tcPr>
            <w:tcW w:w="1720" w:type="dxa"/>
          </w:tcPr>
          <w:p w:rsidR="0019657B" w:rsidRPr="00ED7522" w:rsidRDefault="0019657B" w:rsidP="009A1ADB">
            <w:pPr>
              <w:spacing w:before="120" w:after="120"/>
              <w:jc w:val="center"/>
              <w:rPr>
                <w:rFonts w:ascii="Arial" w:hAnsi="Arial" w:cs="Arial"/>
                <w:caps/>
              </w:rPr>
            </w:pPr>
            <w:r w:rsidRPr="00ED7522">
              <w:rPr>
                <w:rFonts w:ascii="Arial" w:hAnsi="Arial" w:cs="Arial"/>
                <w:caps/>
              </w:rPr>
              <w:t>X</w:t>
            </w:r>
          </w:p>
        </w:tc>
        <w:tc>
          <w:tcPr>
            <w:tcW w:w="1820" w:type="dxa"/>
          </w:tcPr>
          <w:p w:rsidR="0019657B" w:rsidRPr="00ED7522" w:rsidRDefault="0019657B" w:rsidP="009A1ADB">
            <w:pPr>
              <w:spacing w:before="120" w:after="120"/>
              <w:jc w:val="center"/>
              <w:rPr>
                <w:rFonts w:ascii="Arial" w:hAnsi="Arial" w:cs="Arial"/>
                <w:caps/>
              </w:rPr>
            </w:pPr>
          </w:p>
        </w:tc>
      </w:tr>
      <w:tr w:rsidR="0019657B" w:rsidRPr="00ED7522" w:rsidTr="009A1ADB">
        <w:tc>
          <w:tcPr>
            <w:tcW w:w="4105" w:type="dxa"/>
          </w:tcPr>
          <w:p w:rsidR="0019657B" w:rsidRPr="00ED7522" w:rsidRDefault="0019657B" w:rsidP="009A1ADB">
            <w:pPr>
              <w:spacing w:before="120" w:after="120"/>
              <w:rPr>
                <w:rFonts w:ascii="Arial" w:hAnsi="Arial" w:cs="Arial"/>
              </w:rPr>
            </w:pPr>
            <w:r w:rsidRPr="00ED7522">
              <w:rPr>
                <w:rFonts w:ascii="Arial" w:hAnsi="Arial" w:cs="Arial"/>
              </w:rPr>
              <w:t>Weiterbeschäftigung für mind. ein Jahr</w:t>
            </w:r>
          </w:p>
        </w:tc>
        <w:tc>
          <w:tcPr>
            <w:tcW w:w="1720" w:type="dxa"/>
          </w:tcPr>
          <w:p w:rsidR="0019657B" w:rsidRPr="00ED7522" w:rsidRDefault="0019657B" w:rsidP="009A1ADB">
            <w:pPr>
              <w:spacing w:before="120" w:after="120"/>
              <w:jc w:val="center"/>
              <w:rPr>
                <w:rFonts w:ascii="Arial" w:hAnsi="Arial" w:cs="Arial"/>
                <w:caps/>
              </w:rPr>
            </w:pPr>
          </w:p>
        </w:tc>
        <w:tc>
          <w:tcPr>
            <w:tcW w:w="1820" w:type="dxa"/>
          </w:tcPr>
          <w:p w:rsidR="0019657B" w:rsidRPr="00ED7522" w:rsidRDefault="0019657B" w:rsidP="009A1ADB">
            <w:pPr>
              <w:spacing w:before="120" w:after="120"/>
              <w:jc w:val="center"/>
              <w:rPr>
                <w:rFonts w:ascii="Arial" w:hAnsi="Arial" w:cs="Arial"/>
                <w:caps/>
              </w:rPr>
            </w:pPr>
            <w:r w:rsidRPr="00ED7522">
              <w:rPr>
                <w:rFonts w:ascii="Arial" w:hAnsi="Arial" w:cs="Arial"/>
                <w:caps/>
              </w:rPr>
              <w:t>X</w:t>
            </w:r>
          </w:p>
        </w:tc>
      </w:tr>
      <w:tr w:rsidR="0019657B" w:rsidRPr="00ED7522" w:rsidTr="009A1ADB">
        <w:tc>
          <w:tcPr>
            <w:tcW w:w="4105" w:type="dxa"/>
          </w:tcPr>
          <w:p w:rsidR="0019657B" w:rsidRPr="00ED7522" w:rsidRDefault="0019657B" w:rsidP="009A1ADB">
            <w:pPr>
              <w:spacing w:before="120" w:after="120"/>
              <w:rPr>
                <w:rFonts w:ascii="Arial" w:hAnsi="Arial" w:cs="Arial"/>
              </w:rPr>
            </w:pPr>
            <w:r w:rsidRPr="00ED7522">
              <w:rPr>
                <w:rFonts w:ascii="Arial" w:hAnsi="Arial" w:cs="Arial"/>
              </w:rPr>
              <w:t>Weiterbeschäftigung unter einem Jahr</w:t>
            </w:r>
          </w:p>
        </w:tc>
        <w:tc>
          <w:tcPr>
            <w:tcW w:w="1720" w:type="dxa"/>
          </w:tcPr>
          <w:p w:rsidR="0019657B" w:rsidRPr="00ED7522" w:rsidRDefault="0019657B" w:rsidP="009A1ADB">
            <w:pPr>
              <w:spacing w:before="120" w:after="120"/>
              <w:jc w:val="center"/>
              <w:rPr>
                <w:rFonts w:ascii="Arial" w:hAnsi="Arial" w:cs="Arial"/>
                <w:caps/>
              </w:rPr>
            </w:pPr>
            <w:r w:rsidRPr="00ED7522">
              <w:rPr>
                <w:rFonts w:ascii="Arial" w:hAnsi="Arial" w:cs="Arial"/>
                <w:caps/>
              </w:rPr>
              <w:t>x</w:t>
            </w:r>
          </w:p>
        </w:tc>
        <w:tc>
          <w:tcPr>
            <w:tcW w:w="1820" w:type="dxa"/>
          </w:tcPr>
          <w:p w:rsidR="0019657B" w:rsidRPr="00ED7522" w:rsidRDefault="0019657B" w:rsidP="009A1ADB">
            <w:pPr>
              <w:spacing w:before="120" w:after="120"/>
              <w:jc w:val="center"/>
              <w:rPr>
                <w:rFonts w:ascii="Arial" w:hAnsi="Arial" w:cs="Arial"/>
                <w:caps/>
              </w:rPr>
            </w:pPr>
          </w:p>
        </w:tc>
      </w:tr>
      <w:tr w:rsidR="0019657B" w:rsidRPr="00ED7522" w:rsidTr="009A1ADB">
        <w:tc>
          <w:tcPr>
            <w:tcW w:w="4105" w:type="dxa"/>
          </w:tcPr>
          <w:p w:rsidR="0019657B" w:rsidRPr="00ED7522" w:rsidRDefault="0019657B" w:rsidP="009A1ADB">
            <w:pPr>
              <w:spacing w:before="120" w:after="120"/>
              <w:rPr>
                <w:rFonts w:ascii="Arial" w:hAnsi="Arial" w:cs="Arial"/>
              </w:rPr>
            </w:pPr>
            <w:r>
              <w:rPr>
                <w:rFonts w:ascii="Arial" w:hAnsi="Arial" w:cs="Arial"/>
              </w:rPr>
              <w:t>Aufstockung bis Vertragsende</w:t>
            </w:r>
          </w:p>
        </w:tc>
        <w:tc>
          <w:tcPr>
            <w:tcW w:w="1720" w:type="dxa"/>
          </w:tcPr>
          <w:p w:rsidR="0019657B" w:rsidRPr="00ED7522" w:rsidRDefault="0019657B" w:rsidP="009A1ADB">
            <w:pPr>
              <w:spacing w:before="120" w:after="120"/>
              <w:jc w:val="center"/>
              <w:rPr>
                <w:rFonts w:ascii="Arial" w:hAnsi="Arial" w:cs="Arial"/>
                <w:caps/>
              </w:rPr>
            </w:pPr>
          </w:p>
        </w:tc>
        <w:tc>
          <w:tcPr>
            <w:tcW w:w="1820" w:type="dxa"/>
          </w:tcPr>
          <w:p w:rsidR="0019657B" w:rsidRPr="00ED7522" w:rsidRDefault="0019657B" w:rsidP="009A1ADB">
            <w:pPr>
              <w:spacing w:before="120" w:after="120"/>
              <w:jc w:val="center"/>
              <w:rPr>
                <w:rFonts w:ascii="Arial" w:hAnsi="Arial" w:cs="Arial"/>
                <w:caps/>
              </w:rPr>
            </w:pPr>
            <w:r>
              <w:rPr>
                <w:rFonts w:ascii="Arial" w:hAnsi="Arial" w:cs="Arial"/>
                <w:caps/>
              </w:rPr>
              <w:t>x</w:t>
            </w:r>
          </w:p>
        </w:tc>
      </w:tr>
      <w:tr w:rsidR="0019657B" w:rsidRPr="00ED7522" w:rsidTr="009A1ADB">
        <w:tc>
          <w:tcPr>
            <w:tcW w:w="4105" w:type="dxa"/>
          </w:tcPr>
          <w:p w:rsidR="0019657B" w:rsidRDefault="0019657B" w:rsidP="009A1ADB">
            <w:pPr>
              <w:spacing w:before="120" w:after="120"/>
              <w:rPr>
                <w:rFonts w:ascii="Arial" w:hAnsi="Arial" w:cs="Arial"/>
              </w:rPr>
            </w:pPr>
            <w:r>
              <w:rPr>
                <w:rFonts w:ascii="Arial" w:hAnsi="Arial" w:cs="Arial"/>
              </w:rPr>
              <w:t>Aufstockung nicht bis Vertragsende</w:t>
            </w:r>
          </w:p>
        </w:tc>
        <w:tc>
          <w:tcPr>
            <w:tcW w:w="1720" w:type="dxa"/>
          </w:tcPr>
          <w:p w:rsidR="0019657B" w:rsidRPr="00ED7522" w:rsidRDefault="0019657B" w:rsidP="009A1ADB">
            <w:pPr>
              <w:spacing w:before="120" w:after="120"/>
              <w:jc w:val="center"/>
              <w:rPr>
                <w:rFonts w:ascii="Arial" w:hAnsi="Arial" w:cs="Arial"/>
                <w:caps/>
              </w:rPr>
            </w:pPr>
            <w:r>
              <w:rPr>
                <w:rFonts w:ascii="Arial" w:hAnsi="Arial" w:cs="Arial"/>
                <w:caps/>
              </w:rPr>
              <w:t>x</w:t>
            </w:r>
          </w:p>
        </w:tc>
        <w:tc>
          <w:tcPr>
            <w:tcW w:w="1820" w:type="dxa"/>
          </w:tcPr>
          <w:p w:rsidR="0019657B" w:rsidRDefault="0019657B" w:rsidP="009A1ADB">
            <w:pPr>
              <w:spacing w:before="120" w:after="120"/>
              <w:jc w:val="center"/>
              <w:rPr>
                <w:rFonts w:ascii="Arial" w:hAnsi="Arial" w:cs="Arial"/>
                <w:caps/>
              </w:rPr>
            </w:pPr>
          </w:p>
        </w:tc>
      </w:tr>
    </w:tbl>
    <w:p w:rsidR="0019657B" w:rsidRPr="00ED7522" w:rsidRDefault="0019657B" w:rsidP="0019657B">
      <w:pPr>
        <w:spacing w:after="0" w:line="240" w:lineRule="auto"/>
        <w:rPr>
          <w:rFonts w:ascii="Arial" w:hAnsi="Arial" w:cs="Arial"/>
        </w:rPr>
      </w:pPr>
    </w:p>
    <w:p w:rsidR="0019657B" w:rsidRDefault="0019657B" w:rsidP="0019657B">
      <w:pPr>
        <w:spacing w:after="0" w:line="240" w:lineRule="auto"/>
        <w:rPr>
          <w:rFonts w:ascii="Arial" w:hAnsi="Arial" w:cs="Arial"/>
        </w:rPr>
      </w:pPr>
      <w:r>
        <w:rPr>
          <w:rFonts w:ascii="Arial" w:hAnsi="Arial" w:cs="Arial"/>
        </w:rPr>
        <w:t>Diese Aufzählung ist nich</w:t>
      </w:r>
      <w:r w:rsidR="00A50F84">
        <w:rPr>
          <w:rFonts w:ascii="Arial" w:hAnsi="Arial" w:cs="Arial"/>
        </w:rPr>
        <w:t>t abschließend. In Einzelfällen</w:t>
      </w:r>
      <w:r>
        <w:rPr>
          <w:rFonts w:ascii="Arial" w:hAnsi="Arial" w:cs="Arial"/>
        </w:rPr>
        <w:t xml:space="preserve"> kann es vorkommen, dass das </w:t>
      </w:r>
      <w:proofErr w:type="spellStart"/>
      <w:r>
        <w:rPr>
          <w:rFonts w:ascii="Arial" w:hAnsi="Arial" w:cs="Arial"/>
        </w:rPr>
        <w:t>Ref</w:t>
      </w:r>
      <w:proofErr w:type="spellEnd"/>
      <w:r>
        <w:rPr>
          <w:rFonts w:ascii="Arial" w:hAnsi="Arial" w:cs="Arial"/>
        </w:rPr>
        <w:t>. 22 trotz Erfüllung der o.g. Voraussetzungen eine „Quali-Anlage“ anfordert.</w:t>
      </w:r>
    </w:p>
    <w:p w:rsidR="0019657B" w:rsidRDefault="0019657B" w:rsidP="0019657B">
      <w:pPr>
        <w:spacing w:after="0" w:line="240" w:lineRule="auto"/>
        <w:rPr>
          <w:rFonts w:ascii="Arial" w:hAnsi="Arial" w:cs="Arial"/>
        </w:rPr>
      </w:pPr>
    </w:p>
    <w:p w:rsidR="0019657B" w:rsidRDefault="0019657B" w:rsidP="0019657B">
      <w:pPr>
        <w:spacing w:after="0" w:line="240" w:lineRule="auto"/>
        <w:rPr>
          <w:rFonts w:ascii="Arial" w:hAnsi="Arial" w:cs="Arial"/>
        </w:rPr>
      </w:pPr>
      <w:r>
        <w:rPr>
          <w:rFonts w:ascii="Arial" w:hAnsi="Arial" w:cs="Arial"/>
        </w:rPr>
        <w:t xml:space="preserve">Die „Quali-Anlage“ ist ausschließlich von der/dem </w:t>
      </w:r>
      <w:proofErr w:type="spellStart"/>
      <w:r>
        <w:rPr>
          <w:rFonts w:ascii="Arial" w:hAnsi="Arial" w:cs="Arial"/>
        </w:rPr>
        <w:t>Hochschullehrer:in</w:t>
      </w:r>
      <w:proofErr w:type="spellEnd"/>
      <w:r>
        <w:rPr>
          <w:rFonts w:ascii="Arial" w:hAnsi="Arial" w:cs="Arial"/>
        </w:rPr>
        <w:t xml:space="preserve"> auszufüllen, zu unterschreiben und dem Antrag auf Einstellung / Weiterbeschäftigung / Aufstockung nach </w:t>
      </w:r>
      <w:r w:rsidR="006A6DE5">
        <w:rPr>
          <w:rFonts w:ascii="Arial" w:hAnsi="Arial" w:cs="Arial"/>
        </w:rPr>
        <w:t xml:space="preserve">   </w:t>
      </w:r>
      <w:r>
        <w:rPr>
          <w:rFonts w:ascii="Arial" w:hAnsi="Arial" w:cs="Arial"/>
        </w:rPr>
        <w:t xml:space="preserve">§ 2 (1) WissZeitVG beizufügen. </w:t>
      </w:r>
    </w:p>
    <w:p w:rsidR="0019657B" w:rsidRDefault="0019657B">
      <w:r>
        <w:br w:type="page"/>
      </w:r>
    </w:p>
    <w:p w:rsidR="009008A5" w:rsidRDefault="00D35800" w:rsidP="009008A5">
      <w:pPr>
        <w:spacing w:after="0" w:line="240" w:lineRule="auto"/>
      </w:pPr>
      <w:r>
        <w:lastRenderedPageBreak/>
        <w:t xml:space="preserve">Anlage zum Antrag auf Einstellung / Weiterbeschäftigung </w:t>
      </w:r>
      <w:r w:rsidR="009008A5">
        <w:t xml:space="preserve">/ Aufstockung </w:t>
      </w:r>
      <w:r>
        <w:t xml:space="preserve">von </w:t>
      </w:r>
      <w:r w:rsidR="009008A5">
        <w:t xml:space="preserve">                     </w:t>
      </w:r>
      <w:r>
        <w:t>wissenschaftlichen Mitarbeiter</w:t>
      </w:r>
      <w:r w:rsidR="00884462">
        <w:t>*i</w:t>
      </w:r>
      <w:r>
        <w:t>nnen</w:t>
      </w:r>
      <w:r w:rsidR="00884462">
        <w:t xml:space="preserve"> </w:t>
      </w:r>
    </w:p>
    <w:p w:rsidR="00884462" w:rsidRPr="00884462" w:rsidRDefault="00884462" w:rsidP="00884462">
      <w:pPr>
        <w:rPr>
          <w:color w:val="FF0000"/>
        </w:rPr>
      </w:pPr>
      <w:r w:rsidRPr="00851B26">
        <w:rPr>
          <w:b/>
        </w:rPr>
        <w:t>Phase I gem. § 2 Abs. 1 WissZeitVG</w:t>
      </w:r>
    </w:p>
    <w:p w:rsidR="00D35800" w:rsidRDefault="00D35800">
      <w:r>
        <w:t xml:space="preserve">Name: </w:t>
      </w:r>
      <w:r>
        <w:tab/>
      </w:r>
      <w:r>
        <w:tab/>
      </w:r>
      <w:r>
        <w:tab/>
      </w:r>
      <w:r>
        <w:tab/>
        <w:t xml:space="preserve">Vorname: </w:t>
      </w:r>
      <w:r>
        <w:tab/>
      </w:r>
      <w:r>
        <w:tab/>
      </w:r>
      <w:r>
        <w:tab/>
        <w:t>Antrag vom:</w:t>
      </w:r>
    </w:p>
    <w:p w:rsidR="00097BBD" w:rsidRDefault="00097BBD" w:rsidP="005312AE">
      <w:pPr>
        <w:spacing w:after="0" w:line="240" w:lineRule="auto"/>
        <w:rPr>
          <w:b/>
          <w:sz w:val="24"/>
          <w:szCs w:val="24"/>
        </w:rPr>
      </w:pPr>
    </w:p>
    <w:p w:rsidR="00D35800" w:rsidRPr="005312AE" w:rsidRDefault="002C0241" w:rsidP="005312AE">
      <w:pPr>
        <w:spacing w:after="0" w:line="240" w:lineRule="auto"/>
        <w:rPr>
          <w:b/>
          <w:sz w:val="24"/>
          <w:szCs w:val="24"/>
        </w:rPr>
      </w:pPr>
      <w:r w:rsidRPr="005312AE">
        <w:rPr>
          <w:b/>
          <w:sz w:val="24"/>
          <w:szCs w:val="24"/>
        </w:rPr>
        <w:t>Die Befristung des wissenschaftlichen Personals ist nur zulässig, wenn sie vor oder nach der Promotion „zur Förderung der eigenen wissenschaftlichen Qualifizierung“ erfolgt. Erforderlich ist der Erwerb wissenschaftlicher Kompetenzen innerhalb des Beschäftigungsverhältnisses.</w:t>
      </w:r>
    </w:p>
    <w:p w:rsidR="00884462" w:rsidRDefault="00884462"/>
    <w:p w:rsidR="00851B26" w:rsidRPr="00581164" w:rsidRDefault="00203B50" w:rsidP="00D506CD">
      <w:pPr>
        <w:pBdr>
          <w:top w:val="single" w:sz="4" w:space="1" w:color="auto"/>
          <w:left w:val="single" w:sz="4" w:space="4" w:color="auto"/>
          <w:bottom w:val="single" w:sz="4" w:space="1" w:color="auto"/>
          <w:right w:val="single" w:sz="4" w:space="4" w:color="auto"/>
        </w:pBdr>
        <w:rPr>
          <w:b/>
        </w:rPr>
      </w:pPr>
      <w:r w:rsidRPr="00581164">
        <w:rPr>
          <w:b/>
        </w:rPr>
        <w:t>Qualifizierung</w:t>
      </w:r>
      <w:r w:rsidR="00554CF9">
        <w:rPr>
          <w:b/>
        </w:rPr>
        <w:t xml:space="preserve"> durch</w:t>
      </w:r>
      <w:r w:rsidR="00851B26" w:rsidRPr="00581164">
        <w:rPr>
          <w:b/>
        </w:rPr>
        <w:t xml:space="preserve"> Promotion</w:t>
      </w:r>
    </w:p>
    <w:p w:rsidR="002C0241"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 ] Beginn</w:t>
      </w:r>
      <w:r w:rsidRPr="0092231D">
        <w:rPr>
          <w:sz w:val="20"/>
          <w:szCs w:val="20"/>
        </w:rPr>
        <w:tab/>
      </w:r>
      <w:r w:rsidRPr="0092231D">
        <w:rPr>
          <w:sz w:val="20"/>
          <w:szCs w:val="20"/>
        </w:rPr>
        <w:tab/>
        <w:t>[ ] Weiterführung</w:t>
      </w:r>
      <w:r w:rsidRPr="0092231D">
        <w:rPr>
          <w:sz w:val="20"/>
          <w:szCs w:val="20"/>
        </w:rPr>
        <w:tab/>
      </w:r>
      <w:r w:rsidRPr="0092231D">
        <w:rPr>
          <w:sz w:val="20"/>
          <w:szCs w:val="20"/>
        </w:rPr>
        <w:tab/>
        <w:t>[ ] Abschluss eines Promotionsverfahrens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 xml:space="preserve">Thema der Promotion </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____________________________________________________________________________________</w:t>
      </w:r>
    </w:p>
    <w:p w:rsidR="00884462"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Betreuer</w:t>
      </w:r>
      <w:r w:rsidR="00851B26">
        <w:rPr>
          <w:sz w:val="20"/>
          <w:szCs w:val="20"/>
        </w:rPr>
        <w:t>*</w:t>
      </w:r>
      <w:r w:rsidRPr="0092231D">
        <w:rPr>
          <w:sz w:val="20"/>
          <w:szCs w:val="20"/>
        </w:rPr>
        <w:t xml:space="preserve">in: </w:t>
      </w:r>
    </w:p>
    <w:p w:rsidR="00884462" w:rsidRPr="009008A5" w:rsidRDefault="00884462" w:rsidP="006650D8">
      <w:pPr>
        <w:spacing w:after="0" w:line="240" w:lineRule="auto"/>
        <w:rPr>
          <w:sz w:val="12"/>
          <w:szCs w:val="12"/>
        </w:rPr>
      </w:pPr>
    </w:p>
    <w:p w:rsidR="00D506CD" w:rsidRPr="00AA67F1" w:rsidRDefault="00884462" w:rsidP="00D506CD">
      <w:pPr>
        <w:pBdr>
          <w:top w:val="single" w:sz="4" w:space="1" w:color="auto"/>
          <w:left w:val="single" w:sz="4" w:space="4" w:color="auto"/>
          <w:bottom w:val="single" w:sz="4" w:space="1" w:color="auto"/>
          <w:right w:val="single" w:sz="4" w:space="4" w:color="auto"/>
        </w:pBdr>
        <w:rPr>
          <w:b/>
        </w:rPr>
      </w:pPr>
      <w:r>
        <w:rPr>
          <w:b/>
        </w:rPr>
        <w:t>Qualifizierung im Forschungsprojekt</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 xml:space="preserve">[ ] </w:t>
      </w:r>
      <w:r w:rsidR="00455484" w:rsidRPr="0092231D">
        <w:rPr>
          <w:sz w:val="20"/>
          <w:szCs w:val="20"/>
        </w:rPr>
        <w:t>Mitarbeit bei der Erstellung von Forschungsanträgen</w:t>
      </w:r>
      <w:r w:rsidRPr="0092231D">
        <w:rPr>
          <w:sz w:val="20"/>
          <w:szCs w:val="20"/>
        </w:rPr>
        <w:tab/>
      </w:r>
      <w:r w:rsidRPr="0092231D">
        <w:rPr>
          <w:sz w:val="20"/>
          <w:szCs w:val="20"/>
        </w:rPr>
        <w:tab/>
      </w:r>
      <w:r w:rsidR="00455484" w:rsidRPr="0092231D">
        <w:rPr>
          <w:sz w:val="20"/>
          <w:szCs w:val="20"/>
        </w:rPr>
        <w:br/>
      </w:r>
      <w:r w:rsidRPr="0092231D">
        <w:rPr>
          <w:sz w:val="20"/>
          <w:szCs w:val="20"/>
        </w:rPr>
        <w:t xml:space="preserve">[ ] </w:t>
      </w:r>
      <w:r w:rsidR="00455484" w:rsidRPr="0092231D">
        <w:rPr>
          <w:sz w:val="20"/>
          <w:szCs w:val="20"/>
        </w:rPr>
        <w:t xml:space="preserve">Mitarbeit bei der Bearbeitung </w:t>
      </w:r>
      <w:r w:rsidRPr="0092231D">
        <w:rPr>
          <w:sz w:val="20"/>
          <w:szCs w:val="20"/>
        </w:rPr>
        <w:t>eines Forschungsprojektes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Bezeichnung des Forschungsprojektes: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br/>
        <w:t>Beginn/Ende des 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Beschäftigung über die gesamte Projektlaufzeit?</w:t>
      </w:r>
      <w:r w:rsidRPr="0092231D">
        <w:rPr>
          <w:sz w:val="20"/>
          <w:szCs w:val="20"/>
        </w:rPr>
        <w:tab/>
      </w:r>
      <w:r w:rsidRPr="0092231D">
        <w:rPr>
          <w:sz w:val="20"/>
          <w:szCs w:val="20"/>
        </w:rPr>
        <w:tab/>
        <w:t>[ ] ja</w:t>
      </w:r>
      <w:r w:rsidRPr="0092231D">
        <w:rPr>
          <w:sz w:val="20"/>
          <w:szCs w:val="20"/>
        </w:rPr>
        <w:tab/>
      </w:r>
      <w:r w:rsidRPr="0092231D">
        <w:rPr>
          <w:sz w:val="20"/>
          <w:szCs w:val="20"/>
        </w:rPr>
        <w:tab/>
        <w:t>[ ] nein</w:t>
      </w:r>
    </w:p>
    <w:p w:rsidR="00884462" w:rsidRPr="00884462" w:rsidRDefault="00D506CD" w:rsidP="00D506CD">
      <w:pPr>
        <w:pBdr>
          <w:top w:val="single" w:sz="4" w:space="1" w:color="auto"/>
          <w:left w:val="single" w:sz="4" w:space="4" w:color="auto"/>
          <w:bottom w:val="single" w:sz="4" w:space="1" w:color="auto"/>
          <w:right w:val="single" w:sz="4" w:space="4" w:color="auto"/>
        </w:pBdr>
        <w:rPr>
          <w:b/>
          <w:sz w:val="20"/>
          <w:szCs w:val="20"/>
        </w:rPr>
      </w:pPr>
      <w:r w:rsidRPr="0092231D">
        <w:rPr>
          <w:sz w:val="20"/>
          <w:szCs w:val="20"/>
        </w:rPr>
        <w:t xml:space="preserve">Ist die Vertragslaufzeit kürzer als die Projektlaufzeit (z. B. aufgrund von Meilensteinen, </w:t>
      </w:r>
      <w:proofErr w:type="spellStart"/>
      <w:r w:rsidRPr="0092231D">
        <w:rPr>
          <w:sz w:val="20"/>
          <w:szCs w:val="20"/>
        </w:rPr>
        <w:t>Workpackages</w:t>
      </w:r>
      <w:proofErr w:type="spellEnd"/>
      <w:r w:rsidRPr="0092231D">
        <w:rPr>
          <w:sz w:val="20"/>
          <w:szCs w:val="20"/>
        </w:rPr>
        <w:t xml:space="preserve"> etc.) ist zu begründen, warum zum jetzigen Zeitpunkt absehbar ist, dass der/die Beschäftigte nur in diesem Teil des Projektes beschäftigt sein wird und warum</w:t>
      </w:r>
      <w:r w:rsidR="002C56D5" w:rsidRPr="0092231D">
        <w:rPr>
          <w:sz w:val="20"/>
          <w:szCs w:val="20"/>
        </w:rPr>
        <w:t xml:space="preserve"> ggf.</w:t>
      </w:r>
      <w:r w:rsidRPr="0092231D">
        <w:rPr>
          <w:sz w:val="20"/>
          <w:szCs w:val="20"/>
        </w:rPr>
        <w:t xml:space="preserve"> </w:t>
      </w:r>
      <w:r w:rsidR="002C56D5" w:rsidRPr="0092231D">
        <w:rPr>
          <w:sz w:val="20"/>
          <w:szCs w:val="20"/>
        </w:rPr>
        <w:t>seine Beschäftigung im weiteren Projektverlauf ausgeschlossen ist.</w:t>
      </w:r>
    </w:p>
    <w:p w:rsidR="006650D8" w:rsidRPr="009008A5" w:rsidRDefault="006650D8" w:rsidP="006650D8">
      <w:pPr>
        <w:spacing w:after="0" w:line="240" w:lineRule="auto"/>
        <w:rPr>
          <w:sz w:val="12"/>
          <w:szCs w:val="12"/>
        </w:rPr>
      </w:pPr>
    </w:p>
    <w:p w:rsidR="00851B26" w:rsidRPr="00CC0F9E" w:rsidRDefault="00851B26" w:rsidP="00851B26">
      <w:pPr>
        <w:pBdr>
          <w:top w:val="single" w:sz="4" w:space="1" w:color="auto"/>
          <w:left w:val="single" w:sz="4" w:space="4" w:color="auto"/>
          <w:bottom w:val="single" w:sz="4" w:space="1" w:color="auto"/>
          <w:right w:val="single" w:sz="4" w:space="4" w:color="auto"/>
        </w:pBdr>
        <w:spacing w:before="20" w:after="0" w:line="240" w:lineRule="auto"/>
        <w:rPr>
          <w:b/>
        </w:rPr>
      </w:pPr>
      <w:r w:rsidRPr="00CC0F9E">
        <w:rPr>
          <w:b/>
        </w:rPr>
        <w:t xml:space="preserve">Weitere Beispiele zur Förderung der eigenen wissenschaftlichen Qualifizierung </w:t>
      </w:r>
      <w:r>
        <w:rPr>
          <w:b/>
        </w:rPr>
        <w:t>bei Wissenschaftler*innen (nicht abschließend)</w:t>
      </w:r>
    </w:p>
    <w:p w:rsidR="00851B26" w:rsidRPr="00CC0F9E" w:rsidRDefault="00851B26" w:rsidP="00851B26">
      <w:pPr>
        <w:pBdr>
          <w:top w:val="single" w:sz="4" w:space="1" w:color="auto"/>
          <w:left w:val="single" w:sz="4" w:space="4" w:color="auto"/>
          <w:bottom w:val="single" w:sz="4" w:space="1" w:color="auto"/>
          <w:right w:val="single" w:sz="4" w:space="4" w:color="auto"/>
        </w:pBdr>
        <w:spacing w:before="20" w:after="0" w:line="240" w:lineRule="auto"/>
      </w:pP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Erwerb und Anwendung von wissenschaftlichen Methoden (z.B. empirisch, experimentell,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Grundlagenforschung)</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wissenschaftliche Publikationen (z. B. von Forschungsergebnissen)</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Entwicklung von Patenten und Transferleistungen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Organisation von wissenschaftlichen Tagungen</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Fachliche Betreuung von wissenschaftlichen Sammlungen/Laboren</w:t>
      </w:r>
    </w:p>
    <w:p w:rsidR="00851B26" w:rsidRPr="00037AB2"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037AB2">
        <w:rPr>
          <w:sz w:val="20"/>
          <w:szCs w:val="20"/>
        </w:rPr>
        <w:t xml:space="preserve">- Erwerb/Vertiefung von </w:t>
      </w:r>
      <w:r w:rsidR="00037AB2" w:rsidRPr="00037AB2">
        <w:rPr>
          <w:sz w:val="20"/>
          <w:szCs w:val="20"/>
        </w:rPr>
        <w:t>wissenschaftsbasierten Kompetenzen</w:t>
      </w:r>
      <w:r w:rsidRPr="00037AB2">
        <w:rPr>
          <w:sz w:val="20"/>
          <w:szCs w:val="20"/>
        </w:rPr>
        <w:t xml:space="preserve"> im Projekt – und/oder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Wissenschaftsmanagement</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Vorbereitung auf eine berufliche Tätigkeit außerhalb der Universität</w:t>
      </w:r>
    </w:p>
    <w:p w:rsidR="00265C8A"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Erwerb von (zusätzlichen/besonderen/zertifizierten) Lehrqualifikationen/-erfahrungen</w:t>
      </w:r>
    </w:p>
    <w:p w:rsidR="00851B26" w:rsidRPr="00C163FB" w:rsidRDefault="00851B26" w:rsidP="00851B26">
      <w:pPr>
        <w:spacing w:after="0" w:line="240" w:lineRule="auto"/>
        <w:rPr>
          <w:sz w:val="18"/>
          <w:szCs w:val="18"/>
        </w:rPr>
      </w:pPr>
    </w:p>
    <w:p w:rsidR="00851B26" w:rsidRDefault="00851B26" w:rsidP="00884462">
      <w:pPr>
        <w:pBdr>
          <w:top w:val="single" w:sz="4" w:space="1" w:color="auto"/>
          <w:left w:val="single" w:sz="4" w:space="4" w:color="auto"/>
          <w:bottom w:val="single" w:sz="4" w:space="1" w:color="auto"/>
          <w:right w:val="single" w:sz="4" w:space="4" w:color="auto"/>
        </w:pBdr>
        <w:spacing w:after="0"/>
      </w:pPr>
    </w:p>
    <w:p w:rsidR="00884462" w:rsidRDefault="00884462" w:rsidP="00884462">
      <w:pPr>
        <w:pBdr>
          <w:top w:val="single" w:sz="4" w:space="1" w:color="auto"/>
          <w:left w:val="single" w:sz="4" w:space="4" w:color="auto"/>
          <w:bottom w:val="single" w:sz="4" w:space="1" w:color="auto"/>
          <w:right w:val="single" w:sz="4" w:space="4" w:color="auto"/>
        </w:pBdr>
        <w:spacing w:after="0"/>
      </w:pPr>
      <w:r w:rsidRPr="00DB0A6A">
        <w:t xml:space="preserve">Der Gesetzgeber fordert, dass die Befristung nach § 2 Abs. 1 WissZeitVG der </w:t>
      </w:r>
      <w:r w:rsidRPr="00DB0A6A">
        <w:rPr>
          <w:b/>
        </w:rPr>
        <w:t>Förderung der eigenen wissenschaftlichen Qualifizierung</w:t>
      </w:r>
      <w:r w:rsidRPr="00DB0A6A">
        <w:t xml:space="preserve"> dient. Daher ist eine ausführliche </w:t>
      </w:r>
      <w:r w:rsidRPr="00DB0A6A">
        <w:rPr>
          <w:b/>
        </w:rPr>
        <w:t>Darstellung</w:t>
      </w:r>
      <w:r w:rsidRPr="00DB0A6A">
        <w:t xml:space="preserve"> und </w:t>
      </w:r>
      <w:r w:rsidRPr="00DB0A6A">
        <w:rPr>
          <w:b/>
        </w:rPr>
        <w:t>Begründung</w:t>
      </w:r>
      <w:r w:rsidRPr="00DB0A6A">
        <w:t xml:space="preserve"> der Qualifizierung und ihres individuellen Nutzens erforderlich</w:t>
      </w:r>
      <w:r w:rsidR="003221FE">
        <w:t xml:space="preserve"> </w:t>
      </w:r>
      <w:r>
        <w:t>(b</w:t>
      </w:r>
      <w:r w:rsidRPr="00DB0A6A">
        <w:t>ei Mehrfachnennung ist jede einzelne Qualifizierung zu begründen).</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pPr>
    </w:p>
    <w:p w:rsidR="00884462" w:rsidRPr="00DB0A6A" w:rsidRDefault="00884462" w:rsidP="00884462">
      <w:pPr>
        <w:pBdr>
          <w:top w:val="single" w:sz="4" w:space="1" w:color="auto"/>
          <w:left w:val="single" w:sz="4" w:space="4" w:color="auto"/>
          <w:bottom w:val="single" w:sz="4" w:space="1" w:color="auto"/>
          <w:right w:val="single" w:sz="4" w:space="4" w:color="auto"/>
        </w:pBdr>
      </w:pPr>
      <w:r w:rsidRPr="00DB0A6A">
        <w:t xml:space="preserve">Der Gesetzgeber fordert eine Begründung für die </w:t>
      </w:r>
      <w:r w:rsidRPr="00DB0A6A">
        <w:rPr>
          <w:b/>
        </w:rPr>
        <w:t>Angemessenheit der Befristungsdauer für die angestrebte Qualifizierung</w:t>
      </w:r>
      <w:r w:rsidRPr="00DB0A6A">
        <w:t xml:space="preserve">. Bitte erläutern Sie nachfolgend, inwiefern die Befristungsdauer für die angestrebte Qualifizierung angemessen ist. </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w:t>
      </w:r>
      <w:r>
        <w:rPr>
          <w:sz w:val="20"/>
        </w:rPr>
        <w:t>_______________________________</w:t>
      </w:r>
    </w:p>
    <w:p w:rsidR="006650D8" w:rsidRDefault="006650D8" w:rsidP="006650D8">
      <w:pPr>
        <w:pBdr>
          <w:top w:val="single" w:sz="4" w:space="1" w:color="auto"/>
          <w:left w:val="single" w:sz="4" w:space="4" w:color="auto"/>
          <w:bottom w:val="single" w:sz="4" w:space="1" w:color="auto"/>
          <w:right w:val="single" w:sz="4" w:space="4" w:color="auto"/>
        </w:pBdr>
        <w:spacing w:after="0"/>
        <w:rPr>
          <w:sz w:val="20"/>
        </w:rPr>
      </w:pPr>
    </w:p>
    <w:p w:rsidR="00884462" w:rsidRDefault="00884462" w:rsidP="006650D8">
      <w:pPr>
        <w:pBdr>
          <w:top w:val="single" w:sz="4" w:space="1" w:color="auto"/>
          <w:left w:val="single" w:sz="4" w:space="4" w:color="auto"/>
          <w:bottom w:val="single" w:sz="4" w:space="1" w:color="auto"/>
          <w:right w:val="single" w:sz="4" w:space="4" w:color="auto"/>
        </w:pBdr>
        <w:spacing w:after="0"/>
        <w:rPr>
          <w:sz w:val="20"/>
        </w:rPr>
      </w:pPr>
    </w:p>
    <w:p w:rsidR="006650D8" w:rsidRDefault="006650D8" w:rsidP="006650D8">
      <w:pPr>
        <w:spacing w:after="0" w:line="240" w:lineRule="auto"/>
      </w:pPr>
    </w:p>
    <w:p w:rsidR="00C163FB" w:rsidRDefault="00C163FB">
      <w:r>
        <w:t xml:space="preserve">Die genannte/n Qualifizierung/en ist/sind einvernehmlich vereinbart und </w:t>
      </w:r>
      <w:r w:rsidR="00A24C85">
        <w:t xml:space="preserve">die Dauer wird </w:t>
      </w:r>
      <w:r>
        <w:t>als angemessen betrachtet.</w:t>
      </w:r>
    </w:p>
    <w:p w:rsidR="00C163FB" w:rsidRDefault="00C163FB" w:rsidP="00C163FB">
      <w:pPr>
        <w:spacing w:after="0"/>
      </w:pPr>
      <w:r>
        <w:t>Antragstellende</w:t>
      </w:r>
      <w:r w:rsidR="001E65C7">
        <w:t>*</w:t>
      </w:r>
      <w:r>
        <w:t>r Hochschullehrer</w:t>
      </w:r>
      <w:r w:rsidR="001E65C7">
        <w:t>*</w:t>
      </w:r>
      <w:r>
        <w:t>in</w:t>
      </w:r>
      <w:r>
        <w:tab/>
      </w:r>
      <w:r>
        <w:tab/>
      </w:r>
      <w:r>
        <w:tab/>
      </w:r>
      <w:r>
        <w:tab/>
      </w:r>
    </w:p>
    <w:p w:rsidR="002908F9" w:rsidRDefault="002908F9" w:rsidP="00C163FB">
      <w:pPr>
        <w:spacing w:after="0"/>
      </w:pPr>
    </w:p>
    <w:p w:rsidR="00C163FB" w:rsidRDefault="00C163FB" w:rsidP="00C163FB">
      <w:pPr>
        <w:spacing w:after="0" w:line="240" w:lineRule="auto"/>
      </w:pPr>
      <w:r>
        <w:t>_______________________________</w:t>
      </w:r>
      <w:r>
        <w:tab/>
      </w:r>
      <w:r>
        <w:tab/>
      </w:r>
      <w:r>
        <w:tab/>
      </w:r>
      <w:r>
        <w:tab/>
      </w:r>
    </w:p>
    <w:p w:rsidR="00C163FB" w:rsidRDefault="00C163FB" w:rsidP="00C163FB">
      <w:pPr>
        <w:spacing w:after="0" w:line="240" w:lineRule="auto"/>
        <w:rPr>
          <w:sz w:val="18"/>
          <w:szCs w:val="18"/>
        </w:rPr>
      </w:pPr>
      <w:r w:rsidRPr="00C163FB">
        <w:rPr>
          <w:sz w:val="18"/>
          <w:szCs w:val="18"/>
        </w:rPr>
        <w:t>Datum, Unterschrift</w:t>
      </w:r>
      <w:r w:rsidRPr="00C163FB">
        <w:rPr>
          <w:sz w:val="18"/>
          <w:szCs w:val="18"/>
        </w:rPr>
        <w:tab/>
      </w:r>
      <w:r w:rsidRPr="00C163FB">
        <w:rPr>
          <w:sz w:val="18"/>
          <w:szCs w:val="18"/>
        </w:rPr>
        <w:tab/>
      </w:r>
      <w:r w:rsidRPr="00C163FB">
        <w:rPr>
          <w:sz w:val="18"/>
          <w:szCs w:val="18"/>
        </w:rPr>
        <w:tab/>
      </w:r>
      <w:r w:rsidRPr="00C163FB">
        <w:rPr>
          <w:sz w:val="18"/>
          <w:szCs w:val="18"/>
        </w:rPr>
        <w:tab/>
      </w:r>
      <w:r w:rsidRPr="00C163FB">
        <w:rPr>
          <w:sz w:val="18"/>
          <w:szCs w:val="18"/>
        </w:rPr>
        <w:tab/>
      </w:r>
      <w:r w:rsidRPr="00C163FB">
        <w:rPr>
          <w:sz w:val="18"/>
          <w:szCs w:val="18"/>
        </w:rPr>
        <w:tab/>
      </w: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Pr="00C163FB" w:rsidRDefault="00884462" w:rsidP="00C163FB">
      <w:pPr>
        <w:spacing w:after="0" w:line="240" w:lineRule="auto"/>
        <w:rPr>
          <w:sz w:val="18"/>
          <w:szCs w:val="18"/>
        </w:rPr>
      </w:pPr>
    </w:p>
    <w:sectPr w:rsidR="00884462" w:rsidRPr="00C163FB" w:rsidSect="0019657B">
      <w:headerReference w:type="first" r:id="rId7"/>
      <w:footerReference w:type="first" r:id="rId8"/>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14" w:rsidRDefault="00C13114" w:rsidP="0019657B">
      <w:pPr>
        <w:spacing w:after="0" w:line="240" w:lineRule="auto"/>
      </w:pPr>
      <w:r>
        <w:separator/>
      </w:r>
    </w:p>
  </w:endnote>
  <w:endnote w:type="continuationSeparator" w:id="0">
    <w:p w:rsidR="00C13114" w:rsidRDefault="00C13114" w:rsidP="0019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7B" w:rsidRPr="0019657B" w:rsidRDefault="0019657B">
    <w:pPr>
      <w:pStyle w:val="Fuzeile"/>
      <w:rPr>
        <w:rFonts w:ascii="Arial" w:hAnsi="Arial" w:cs="Arial"/>
        <w:sz w:val="20"/>
        <w:szCs w:val="20"/>
      </w:rPr>
    </w:pPr>
    <w:r w:rsidRPr="00603E33">
      <w:rPr>
        <w:rFonts w:ascii="Arial" w:hAnsi="Arial" w:cs="Arial"/>
        <w:sz w:val="20"/>
        <w:szCs w:val="20"/>
      </w:rPr>
      <w:t xml:space="preserve">Dezernat 2 / </w:t>
    </w:r>
    <w:proofErr w:type="spellStart"/>
    <w:r w:rsidRPr="00603E33">
      <w:rPr>
        <w:rFonts w:ascii="Arial" w:hAnsi="Arial" w:cs="Arial"/>
        <w:sz w:val="20"/>
        <w:szCs w:val="20"/>
      </w:rPr>
      <w:t>Ref</w:t>
    </w:r>
    <w:proofErr w:type="spellEnd"/>
    <w:r w:rsidRPr="00603E33">
      <w:rPr>
        <w:rFonts w:ascii="Arial" w:hAnsi="Arial" w:cs="Arial"/>
        <w:sz w:val="20"/>
        <w:szCs w:val="20"/>
      </w:rPr>
      <w:t xml:space="preserve">. 22 </w:t>
    </w:r>
    <w:r w:rsidRPr="00603E33">
      <w:rPr>
        <w:rFonts w:ascii="Arial" w:hAnsi="Arial" w:cs="Arial"/>
        <w:sz w:val="20"/>
        <w:szCs w:val="20"/>
      </w:rPr>
      <w:tab/>
    </w:r>
    <w:r w:rsidRPr="00603E33">
      <w:rPr>
        <w:rFonts w:ascii="Arial" w:hAnsi="Arial" w:cs="Arial"/>
        <w:sz w:val="20"/>
        <w:szCs w:val="20"/>
      </w:rPr>
      <w:tab/>
      <w:t>Stand: 09/2023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14" w:rsidRDefault="00C13114" w:rsidP="0019657B">
      <w:pPr>
        <w:spacing w:after="0" w:line="240" w:lineRule="auto"/>
      </w:pPr>
      <w:r>
        <w:separator/>
      </w:r>
    </w:p>
  </w:footnote>
  <w:footnote w:type="continuationSeparator" w:id="0">
    <w:p w:rsidR="00C13114" w:rsidRDefault="00C13114" w:rsidP="0019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7B" w:rsidRDefault="0019657B">
    <w:pPr>
      <w:pStyle w:val="Kopfzeile"/>
    </w:pPr>
    <w:r>
      <w:rPr>
        <w:noProof/>
        <w:lang w:eastAsia="de-DE"/>
      </w:rPr>
      <w:drawing>
        <wp:anchor distT="0" distB="0" distL="114300" distR="114300" simplePos="0" relativeHeight="251659264" behindDoc="0" locked="0" layoutInCell="1" allowOverlap="1" wp14:anchorId="584A1E22" wp14:editId="2E72F231">
          <wp:simplePos x="0" y="0"/>
          <wp:positionH relativeFrom="margin">
            <wp:align>left</wp:align>
          </wp:positionH>
          <wp:positionV relativeFrom="paragraph">
            <wp:posOffset>-86360</wp:posOffset>
          </wp:positionV>
          <wp:extent cx="1438275" cy="516255"/>
          <wp:effectExtent l="0" t="0" r="9525" b="0"/>
          <wp:wrapThrough wrapText="bothSides">
            <wp:wrapPolygon edited="0">
              <wp:start x="0" y="0"/>
              <wp:lineTo x="0" y="15941"/>
              <wp:lineTo x="1717" y="20723"/>
              <wp:lineTo x="5722" y="20723"/>
              <wp:lineTo x="6294" y="20723"/>
              <wp:lineTo x="8011" y="12753"/>
              <wp:lineTo x="21457" y="10362"/>
              <wp:lineTo x="2145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B_Logo_Web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5162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00"/>
    <w:rsid w:val="00037AB2"/>
    <w:rsid w:val="00097BBD"/>
    <w:rsid w:val="000D3938"/>
    <w:rsid w:val="00142FB4"/>
    <w:rsid w:val="001579AC"/>
    <w:rsid w:val="0019657B"/>
    <w:rsid w:val="001E65C7"/>
    <w:rsid w:val="00203B50"/>
    <w:rsid w:val="002327DC"/>
    <w:rsid w:val="00265C8A"/>
    <w:rsid w:val="002908F9"/>
    <w:rsid w:val="002C0241"/>
    <w:rsid w:val="002C56D5"/>
    <w:rsid w:val="003221FE"/>
    <w:rsid w:val="00387456"/>
    <w:rsid w:val="003D0776"/>
    <w:rsid w:val="00403123"/>
    <w:rsid w:val="00455484"/>
    <w:rsid w:val="00505369"/>
    <w:rsid w:val="005312AE"/>
    <w:rsid w:val="00554CF9"/>
    <w:rsid w:val="00581164"/>
    <w:rsid w:val="006650D8"/>
    <w:rsid w:val="006A6DE5"/>
    <w:rsid w:val="00851B26"/>
    <w:rsid w:val="00884462"/>
    <w:rsid w:val="008B23B0"/>
    <w:rsid w:val="009008A5"/>
    <w:rsid w:val="0092231D"/>
    <w:rsid w:val="00A24C85"/>
    <w:rsid w:val="00A50F84"/>
    <w:rsid w:val="00AA67F1"/>
    <w:rsid w:val="00C13114"/>
    <w:rsid w:val="00C163FB"/>
    <w:rsid w:val="00C1690B"/>
    <w:rsid w:val="00C701B4"/>
    <w:rsid w:val="00C73545"/>
    <w:rsid w:val="00CA786A"/>
    <w:rsid w:val="00D144AC"/>
    <w:rsid w:val="00D35800"/>
    <w:rsid w:val="00D506CD"/>
    <w:rsid w:val="00EF5B08"/>
    <w:rsid w:val="00F15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1BF4E-5D10-4A4E-B15F-D0A5F80C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7B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BBD"/>
    <w:rPr>
      <w:rFonts w:ascii="Tahoma" w:hAnsi="Tahoma" w:cs="Tahoma"/>
      <w:sz w:val="16"/>
      <w:szCs w:val="16"/>
    </w:rPr>
  </w:style>
  <w:style w:type="table" w:styleId="Tabellenraster">
    <w:name w:val="Table Grid"/>
    <w:basedOn w:val="NormaleTabelle"/>
    <w:uiPriority w:val="39"/>
    <w:rsid w:val="0019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965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657B"/>
  </w:style>
  <w:style w:type="paragraph" w:styleId="Fuzeile">
    <w:name w:val="footer"/>
    <w:basedOn w:val="Standard"/>
    <w:link w:val="FuzeileZchn"/>
    <w:uiPriority w:val="99"/>
    <w:unhideWhenUsed/>
    <w:rsid w:val="001965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0EAE-8C68-451D-8A98-969D8CDB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Götzke, Maria</cp:lastModifiedBy>
  <cp:revision>2</cp:revision>
  <cp:lastPrinted>2016-03-16T15:01:00Z</cp:lastPrinted>
  <dcterms:created xsi:type="dcterms:W3CDTF">2023-10-02T08:08:00Z</dcterms:created>
  <dcterms:modified xsi:type="dcterms:W3CDTF">2023-10-02T08:08:00Z</dcterms:modified>
</cp:coreProperties>
</file>